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Арендатор  прин</w:t>
      </w:r>
      <w:r>
        <w:rPr>
          <w:sz w:val="24"/>
        </w:rPr>
        <w:t>ять  на  условиях  настоящего  Договора земельный участок из земель населенных пунктов, с ка</w:t>
      </w:r>
      <w:r>
        <w:rPr>
          <w:sz w:val="24"/>
        </w:rPr>
        <w:t xml:space="preserve">дастровым номером </w:t>
      </w:r>
      <w:r>
        <w:rPr>
          <w:rFonts w:ascii="Times New Roman" w:hAnsi="Times New Roman"/>
          <w:sz w:val="24"/>
        </w:rPr>
        <w:t>23:39:0503003:1643</w:t>
      </w:r>
      <w:r>
        <w:rPr>
          <w:sz w:val="24"/>
        </w:rPr>
        <w:t xml:space="preserve">, общей площадью  </w:t>
      </w:r>
      <w:r>
        <w:rPr>
          <w:rFonts w:ascii="Times New Roman" w:hAnsi="Times New Roman"/>
          <w:sz w:val="24"/>
        </w:rPr>
        <w:t xml:space="preserve"> 2147</w:t>
      </w:r>
      <w:r>
        <w:rPr>
          <w:sz w:val="24"/>
        </w:rPr>
        <w:t xml:space="preserve"> </w:t>
      </w:r>
      <w:r>
        <w:rPr>
          <w:sz w:val="24"/>
        </w:rPr>
        <w:t>кв.м</w:t>
      </w:r>
      <w:r>
        <w:rPr>
          <w:sz w:val="24"/>
        </w:rPr>
        <w:t>., расположен</w:t>
      </w:r>
      <w:r>
        <w:rPr>
          <w:sz w:val="24"/>
        </w:rPr>
        <w:t>ный по адресу:</w:t>
      </w:r>
      <w:r>
        <w:rPr>
          <w:sz w:val="24"/>
        </w:rPr>
        <w:t xml:space="preserve">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Бжедуховское</w:t>
      </w:r>
      <w:r>
        <w:rPr>
          <w:rFonts w:ascii="Times New Roman" w:hAnsi="Times New Roman"/>
          <w:sz w:val="24"/>
        </w:rPr>
        <w:t xml:space="preserve"> с/п., ст. </w:t>
      </w:r>
      <w:r>
        <w:rPr>
          <w:rFonts w:ascii="Times New Roman" w:hAnsi="Times New Roman"/>
          <w:sz w:val="24"/>
        </w:rPr>
        <w:t>Бжедуховская</w:t>
      </w:r>
      <w:r>
        <w:rPr>
          <w:rFonts w:ascii="Times New Roman" w:hAnsi="Times New Roman"/>
          <w:sz w:val="24"/>
        </w:rPr>
        <w:t>, ул. Светлая</w:t>
      </w:r>
      <w:r>
        <w:rPr>
          <w:sz w:val="24"/>
        </w:rPr>
        <w:t xml:space="preserve"> </w:t>
      </w:r>
      <w:r>
        <w:rPr>
          <w:sz w:val="24"/>
        </w:rPr>
        <w:t xml:space="preserve">(далее - Участок), вид разрешенного использования: </w:t>
      </w:r>
      <w:r>
        <w:rPr>
          <w:rFonts w:ascii="Times New Roman" w:hAnsi="Times New Roman"/>
          <w:sz w:val="24"/>
        </w:rPr>
        <w:t>для индивидуального жилищного строительства</w:t>
      </w:r>
      <w:r>
        <w:rPr>
          <w:rFonts w:ascii="Times New Roman" w:hAnsi="Times New Roman"/>
          <w:sz w:val="24"/>
        </w:rPr>
        <w:t>.</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pPr>
      <w:r>
        <w:rPr>
          <w:sz w:val="24"/>
        </w:rPr>
        <w:t xml:space="preserve">2.1. Сумма задатка в размере </w:t>
      </w:r>
      <w:r>
        <w:rPr>
          <w:sz w:val="24"/>
        </w:rPr>
        <w:t>219788,39</w:t>
      </w:r>
      <w:r>
        <w:rPr>
          <w:sz w:val="24"/>
        </w:rPr>
        <w:t xml:space="preserve"> руб. (</w:t>
      </w:r>
      <w:r>
        <w:rPr>
          <w:sz w:val="24"/>
        </w:rPr>
        <w:t>двести девятнадцать тысяч семьсот восемьдесят восемь рублей 39 копеек</w:t>
      </w:r>
      <w:r>
        <w:rPr>
          <w:sz w:val="24"/>
        </w:rPr>
        <w:t>)</w:t>
      </w:r>
      <w:r>
        <w:rPr>
          <w:sz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w:t>
      </w:r>
      <w:r>
        <w:t xml:space="preserve">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t xml:space="preserve">2.2. Годовой размер арендной платы устанавливается по результатам торгов и составляет _________ (____________________________________) руб.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rPr>
          <w:shd w:fill="FFD821" w:val="clear"/>
        </w:rPr>
        <w:t>407</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pPr>
      <w:r>
        <w:t>9.1</w:t>
      </w:r>
      <w:r>
        <w:rPr>
          <w:sz w:val="24"/>
        </w:rPr>
        <w:t>.</w:t>
      </w:r>
      <w:r>
        <w:rPr>
          <w:color w:themeColor="text1" w:val="000000"/>
          <w:sz w:val="24"/>
        </w:rPr>
        <w:t xml:space="preserve"> Участок попадает в границы охранной зоны </w:t>
      </w:r>
      <w:r>
        <w:rPr>
          <w:color w:themeColor="text1" w:val="000000"/>
          <w:sz w:val="24"/>
        </w:rPr>
        <w:t>ВЛ</w:t>
      </w:r>
      <w:r>
        <w:rPr>
          <w:color w:themeColor="text1" w:val="000000"/>
          <w:sz w:val="24"/>
        </w:rPr>
        <w:t xml:space="preserve"> 0,4 </w:t>
      </w:r>
      <w:r>
        <w:rPr>
          <w:color w:themeColor="text1" w:val="000000"/>
          <w:sz w:val="24"/>
        </w:rPr>
        <w:t>кВ</w:t>
      </w:r>
      <w:r>
        <w:rPr>
          <w:color w:themeColor="text1" w:val="000000"/>
          <w:sz w:val="24"/>
        </w:rPr>
        <w:t xml:space="preserve"> Бж4-231. </w:t>
      </w:r>
      <w:r>
        <w:rPr>
          <w:color w:themeColor="text1" w:val="000000"/>
          <w:sz w:val="24"/>
          <w:highlight w:val="white"/>
        </w:rPr>
        <w:t xml:space="preserve">В соответствии с гл. 3 </w:t>
      </w:r>
      <w:r>
        <w:rPr>
          <w:color w:themeColor="text1" w:val="000000"/>
          <w:sz w:val="24"/>
          <w:highlight w:val="white"/>
        </w:rPr>
        <w:t>п.п</w:t>
      </w:r>
      <w:r>
        <w:rPr>
          <w:color w:themeColor="text1" w:val="000000"/>
          <w:sz w:val="24"/>
          <w:highlight w:val="white"/>
        </w:rPr>
        <w:t>. 8-15 Постановления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 № 160 от 24.02.2009г.: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w:t>
      </w:r>
      <w:r>
        <w:rPr>
          <w:color w:themeColor="text1" w:val="000000"/>
          <w:sz w:val="24"/>
          <w:highlight w:val="white"/>
        </w:rPr>
        <w:t xml:space="preserve">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а) набрасывать на провода и опоры ВЭЛ посторонние предметы, а также подниматься на опоры ВЭЛ; б) размещать любые объекты и предметы (материалы) в </w:t>
      </w:r>
      <w:r>
        <w:rPr>
          <w:color w:themeColor="text1" w:val="000000"/>
          <w:sz w:val="24"/>
          <w:highlight w:val="white"/>
        </w:rPr>
        <w:t>пределах</w:t>
      </w:r>
      <w:r>
        <w:rPr>
          <w:color w:themeColor="text1" w:val="000000"/>
          <w:sz w:val="24"/>
          <w:highlight w:val="white"/>
        </w:rPr>
        <w:t xml:space="preserve"> созданных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w:t>
      </w:r>
      <w:r>
        <w:rPr>
          <w:color w:themeColor="text1" w:val="000000"/>
          <w:sz w:val="24"/>
          <w:highlight w:val="white"/>
        </w:rPr>
        <w:t>доступа проходов и подъездов; в) находиться в пределах огороженной территории и помещениях РУ и РП, открывать двери и люки РУ и РП, производить переключения и подключения в электрических сетях, разводить огонь в пределах охранных зон вводных и распределительных устройств, подстанций, ВЭЛ, а также в охранных зонах кабельных линий электропередачи; г) размещать свалки; 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r>
        <w:rPr>
          <w:color w:themeColor="text1" w:val="000000"/>
          <w:sz w:val="24"/>
        </w:rPr>
        <w:t xml:space="preserve"> При использовании необходимо учитывать ограничения на использование территории, установленные законодательством Российской Федерации.</w:t>
      </w:r>
    </w:p>
    <w:p w14:paraId="74000000">
      <w:pPr>
        <w:ind/>
        <w:jc w:val="both"/>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t>9.</w:t>
      </w:r>
      <w:r>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Цветовое выделение"/>
    <w:link w:val="Style_2_ch"/>
    <w:rPr>
      <w:b w:val="1"/>
      <w:color w:val="000080"/>
      <w:sz w:val="20"/>
    </w:rPr>
  </w:style>
  <w:style w:styleId="Style_2_ch" w:type="character">
    <w:name w:val="Цветовое выделение"/>
    <w:link w:val="Style_2"/>
    <w:rPr>
      <w:b w:val="1"/>
      <w:color w:val="000080"/>
      <w:sz w:val="20"/>
    </w:rPr>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List Paragraph"/>
    <w:basedOn w:val="Style_1"/>
    <w:link w:val="Style_8_ch"/>
    <w:pPr>
      <w:ind w:firstLine="0" w:left="720"/>
      <w:contextualSpacing w:val="1"/>
    </w:pPr>
  </w:style>
  <w:style w:styleId="Style_8_ch" w:type="character">
    <w:name w:val="List Paragraph"/>
    <w:basedOn w:val="Style_1_ch"/>
    <w:link w:val="Style_8"/>
  </w:style>
  <w:style w:styleId="Style_9" w:type="paragraph">
    <w:name w:val="Body Text 2"/>
    <w:basedOn w:val="Style_1"/>
    <w:link w:val="Style_9_ch"/>
    <w:pPr>
      <w:spacing w:after="120" w:line="480" w:lineRule="auto"/>
      <w:ind/>
    </w:pPr>
  </w:style>
  <w:style w:styleId="Style_9_ch" w:type="character">
    <w:name w:val="Body Text 2"/>
    <w:basedOn w:val="Style_1_ch"/>
    <w:link w:val="Style_9"/>
  </w:style>
  <w:style w:styleId="Style_10" w:type="paragraph">
    <w:name w:val="toc 3"/>
    <w:next w:val="Style_1"/>
    <w:link w:val="Style_10_ch"/>
    <w:uiPriority w:val="39"/>
    <w:pPr>
      <w:ind w:firstLine="0" w:left="400"/>
      <w:jc w:val="left"/>
    </w:pPr>
    <w:rPr>
      <w:rFonts w:ascii="XO Thames" w:hAnsi="XO Thames"/>
      <w:sz w:val="28"/>
    </w:rPr>
  </w:style>
  <w:style w:styleId="Style_10_ch" w:type="character">
    <w:name w:val="toc 3"/>
    <w:link w:val="Style_10"/>
    <w:rPr>
      <w:rFonts w:ascii="XO Thames" w:hAnsi="XO Thames"/>
      <w:sz w:val="28"/>
    </w:rPr>
  </w:style>
  <w:style w:styleId="Style_11" w:type="paragraph">
    <w:name w:val="Таблицы (моноширинный)"/>
    <w:basedOn w:val="Style_1"/>
    <w:next w:val="Style_1"/>
    <w:link w:val="Style_11_ch"/>
    <w:pPr>
      <w:widowControl w:val="0"/>
      <w:ind/>
      <w:jc w:val="both"/>
    </w:pPr>
    <w:rPr>
      <w:rFonts w:ascii="Courier New" w:hAnsi="Courier New"/>
      <w:sz w:val="20"/>
    </w:rPr>
  </w:style>
  <w:style w:styleId="Style_11_ch" w:type="character">
    <w:name w:val="Таблицы (моноширинный)"/>
    <w:basedOn w:val="Style_1_ch"/>
    <w:link w:val="Style_11"/>
    <w:rPr>
      <w:rFonts w:ascii="Courier New" w:hAnsi="Courier New"/>
      <w:sz w:val="20"/>
    </w:rPr>
  </w:style>
  <w:style w:styleId="Style_12" w:type="paragraph">
    <w:name w:val="heading 5"/>
    <w:basedOn w:val="Style_1"/>
    <w:next w:val="Style_1"/>
    <w:link w:val="Style_12_ch"/>
    <w:uiPriority w:val="9"/>
    <w:qFormat/>
    <w:pPr>
      <w:keepNext w:val="1"/>
      <w:keepLines w:val="1"/>
      <w:spacing w:after="40" w:before="220"/>
      <w:ind/>
      <w:outlineLvl w:val="4"/>
    </w:pPr>
    <w:rPr>
      <w:b w:val="1"/>
      <w:sz w:val="22"/>
    </w:rPr>
  </w:style>
  <w:style w:styleId="Style_12_ch" w:type="character">
    <w:name w:val="heading 5"/>
    <w:basedOn w:val="Style_1_ch"/>
    <w:link w:val="Style_12"/>
    <w:rPr>
      <w:b w:val="1"/>
      <w:sz w:val="22"/>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1"/>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1"/>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9" w:type="paragraph">
    <w:name w:val="toc 8"/>
    <w:next w:val="Style_1"/>
    <w:link w:val="Style_19_ch"/>
    <w:uiPriority w:val="39"/>
    <w:pPr>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Default Paragraph Font"/>
    <w:link w:val="Style_20_ch"/>
  </w:style>
  <w:style w:styleId="Style_20_ch" w:type="character">
    <w:name w:val="Default Paragraph Font"/>
    <w:link w:val="Style_20"/>
  </w:style>
  <w:style w:styleId="Style_21" w:type="paragraph">
    <w:name w:val="toc 5"/>
    <w:next w:val="Style_1"/>
    <w:link w:val="Style_21_ch"/>
    <w:uiPriority w:val="39"/>
    <w:pPr>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Body Text Indent 2"/>
    <w:basedOn w:val="Style_1"/>
    <w:link w:val="Style_22_ch"/>
    <w:pPr>
      <w:widowControl w:val="0"/>
      <w:spacing w:after="20" w:before="20"/>
      <w:ind w:firstLine="360" w:left="0" w:right="-8"/>
      <w:jc w:val="both"/>
    </w:pPr>
  </w:style>
  <w:style w:styleId="Style_22_ch" w:type="character">
    <w:name w:val="Body Text Indent 2"/>
    <w:basedOn w:val="Style_1_ch"/>
    <w:link w:val="Style_22"/>
  </w:style>
  <w:style w:styleId="Style_23" w:type="paragraph">
    <w:name w:val="Subtitle"/>
    <w:basedOn w:val="Style_1"/>
    <w:next w:val="Style_1"/>
    <w:link w:val="Style_23_ch"/>
    <w:uiPriority w:val="11"/>
    <w:qFormat/>
    <w:pPr>
      <w:keepNext w:val="1"/>
      <w:keepLines w:val="1"/>
      <w:spacing w:after="80" w:before="360"/>
      <w:ind/>
    </w:pPr>
    <w:rPr>
      <w:rFonts w:ascii="Georgia" w:hAnsi="Georgia"/>
      <w:i w:val="1"/>
      <w:color w:val="666666"/>
      <w:sz w:val="48"/>
    </w:rPr>
  </w:style>
  <w:style w:styleId="Style_23_ch" w:type="character">
    <w:name w:val="Subtitle"/>
    <w:basedOn w:val="Style_1_ch"/>
    <w:link w:val="Style_23"/>
    <w:rPr>
      <w:rFonts w:ascii="Georgia" w:hAnsi="Georgia"/>
      <w:i w:val="1"/>
      <w:color w:val="666666"/>
      <w:sz w:val="48"/>
    </w:rPr>
  </w:style>
  <w:style w:styleId="Style_24" w:type="paragraph">
    <w:name w:val="Гипертекстовая ссылка"/>
    <w:link w:val="Style_24_ch"/>
    <w:rPr>
      <w:b w:val="1"/>
      <w:color w:val="008000"/>
      <w:sz w:val="20"/>
      <w:u w:val="single"/>
    </w:rPr>
  </w:style>
  <w:style w:styleId="Style_24_ch" w:type="character">
    <w:name w:val="Гипертекстовая ссылка"/>
    <w:link w:val="Style_24"/>
    <w:rPr>
      <w:b w:val="1"/>
      <w:color w:val="008000"/>
      <w:sz w:val="20"/>
      <w:u w:val="single"/>
    </w:rPr>
  </w:style>
  <w:style w:styleId="Style_25" w:type="paragraph">
    <w:name w:val="Title"/>
    <w:basedOn w:val="Style_1"/>
    <w:next w:val="Style_1"/>
    <w:link w:val="Style_25_ch"/>
    <w:uiPriority w:val="10"/>
    <w:qFormat/>
    <w:pPr>
      <w:keepNext w:val="1"/>
      <w:keepLines w:val="1"/>
      <w:spacing w:after="120" w:before="480"/>
      <w:ind/>
    </w:pPr>
    <w:rPr>
      <w:b w:val="1"/>
      <w:sz w:val="72"/>
    </w:rPr>
  </w:style>
  <w:style w:styleId="Style_25_ch" w:type="character">
    <w:name w:val="Title"/>
    <w:basedOn w:val="Style_1_ch"/>
    <w:link w:val="Style_25"/>
    <w:rPr>
      <w:b w:val="1"/>
      <w:sz w:val="72"/>
    </w:rPr>
  </w:style>
  <w:style w:styleId="Style_26" w:type="paragraph">
    <w:name w:val="heading 4"/>
    <w:basedOn w:val="Style_1"/>
    <w:next w:val="Style_1"/>
    <w:link w:val="Style_26_ch"/>
    <w:uiPriority w:val="9"/>
    <w:qFormat/>
    <w:pPr>
      <w:keepNext w:val="1"/>
      <w:keepLines w:val="1"/>
      <w:spacing w:after="40" w:before="240"/>
      <w:ind/>
      <w:outlineLvl w:val="3"/>
    </w:pPr>
    <w:rPr>
      <w:b w:val="1"/>
    </w:rPr>
  </w:style>
  <w:style w:styleId="Style_26_ch" w:type="character">
    <w:name w:val="heading 4"/>
    <w:basedOn w:val="Style_1_ch"/>
    <w:link w:val="Style_26"/>
    <w:rPr>
      <w:b w:val="1"/>
    </w:rPr>
  </w:style>
  <w:style w:styleId="Style_27" w:type="paragraph">
    <w:name w:val="Body Text 3"/>
    <w:basedOn w:val="Style_1"/>
    <w:link w:val="Style_27_ch"/>
    <w:pPr>
      <w:spacing w:after="120"/>
      <w:ind/>
    </w:pPr>
    <w:rPr>
      <w:sz w:val="16"/>
    </w:rPr>
  </w:style>
  <w:style w:styleId="Style_27_ch" w:type="character">
    <w:name w:val="Body Text 3"/>
    <w:basedOn w:val="Style_1_ch"/>
    <w:link w:val="Style_27"/>
    <w:rPr>
      <w:sz w:val="16"/>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Body Text Indent 3"/>
    <w:basedOn w:val="Style_1"/>
    <w:link w:val="Style_29_ch"/>
    <w:pPr>
      <w:spacing w:after="120"/>
      <w:ind w:firstLine="0" w:left="283"/>
    </w:pPr>
    <w:rPr>
      <w:sz w:val="16"/>
    </w:rPr>
  </w:style>
  <w:style w:styleId="Style_29_ch" w:type="character">
    <w:name w:val="Body Text Indent 3"/>
    <w:basedOn w:val="Style_1_ch"/>
    <w:link w:val="Style_29"/>
    <w:rPr>
      <w:sz w:val="1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default="1" w:styleId="Style_33" w:type="table">
    <w:name w:val="Normal Table"/>
    <w:tblPr>
      <w:tblInd w:type="dxa" w:w="0"/>
      <w:tblCellMar>
        <w:top w:type="dxa" w:w="0"/>
        <w:left w:type="dxa" w:w="108"/>
        <w:bottom w:type="dxa" w:w="0"/>
        <w:right w:type="dxa" w:w="108"/>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2023-12-23T18:20:51Z</dcterms:modified>
</cp:coreProperties>
</file>